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C27CB9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C27CB9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C27CB9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C27CB9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C27CB9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C27CB9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C27CB9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C27CB9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C27CB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C27CB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C27CB9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C27CB9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C27CB9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C27CB9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C27CB9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</w:t>
      </w:r>
      <w:r w:rsidRPr="00C27CB9">
        <w:rPr>
          <w:rFonts w:hint="eastAsia"/>
          <w:sz w:val="20"/>
          <w:szCs w:val="20"/>
        </w:rPr>
        <w:t>日本</w:t>
      </w:r>
      <w:r w:rsidRPr="00C27CB9">
        <w:rPr>
          <w:rFonts w:hint="eastAsia"/>
          <w:sz w:val="20"/>
          <w:szCs w:val="20"/>
        </w:rPr>
        <w:t>産業</w:t>
      </w:r>
      <w:r w:rsidR="0046152D" w:rsidRPr="00C27CB9">
        <w:rPr>
          <w:rFonts w:hint="eastAsia"/>
          <w:sz w:val="20"/>
          <w:szCs w:val="20"/>
        </w:rPr>
        <w:t>規</w:t>
      </w:r>
      <w:r w:rsidR="0046152D">
        <w:rPr>
          <w:rFonts w:hint="eastAsia"/>
          <w:sz w:val="20"/>
          <w:szCs w:val="20"/>
        </w:rPr>
        <w:t>格Ａ</w:t>
      </w:r>
      <w:bookmarkStart w:id="0" w:name="_GoBack"/>
      <w:bookmarkEnd w:id="0"/>
      <w:r w:rsidR="0046152D">
        <w:rPr>
          <w:rFonts w:hint="eastAsia"/>
          <w:sz w:val="20"/>
          <w:szCs w:val="20"/>
        </w:rPr>
        <w:t>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21" w:rsidRDefault="00B16921" w:rsidP="00600265">
      <w:r>
        <w:separator/>
      </w:r>
    </w:p>
  </w:endnote>
  <w:endnote w:type="continuationSeparator" w:id="0">
    <w:p w:rsidR="00B16921" w:rsidRDefault="00B16921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21" w:rsidRDefault="00B16921" w:rsidP="00600265">
      <w:r>
        <w:separator/>
      </w:r>
    </w:p>
  </w:footnote>
  <w:footnote w:type="continuationSeparator" w:id="0">
    <w:p w:rsidR="00B16921" w:rsidRDefault="00B16921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16921"/>
    <w:rsid w:val="00BB1328"/>
    <w:rsid w:val="00C27CB9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0D56A"/>
  <w15:docId w15:val="{3C2ADABC-5565-41C7-AC4B-198D7412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2017-09-15T10:48:00Z</dcterms:created>
  <dcterms:modified xsi:type="dcterms:W3CDTF">2019-11-21T06:36:00Z</dcterms:modified>
</cp:coreProperties>
</file>